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E1B3" w14:textId="77777777" w:rsidR="00AC38EC" w:rsidRDefault="00AC38EC" w:rsidP="00AC38EC">
      <w:pPr>
        <w:spacing w:after="0" w:line="240" w:lineRule="auto"/>
      </w:pPr>
      <w:r>
        <w:rPr>
          <w:noProof/>
        </w:rPr>
        <w:drawing>
          <wp:anchor distT="0" distB="0" distL="114300" distR="114300" simplePos="0" relativeHeight="251661312" behindDoc="0" locked="0" layoutInCell="1" allowOverlap="1" wp14:anchorId="42944148" wp14:editId="4C992D5D">
            <wp:simplePos x="0" y="0"/>
            <wp:positionH relativeFrom="margin">
              <wp:posOffset>48895</wp:posOffset>
            </wp:positionH>
            <wp:positionV relativeFrom="margin">
              <wp:posOffset>154305</wp:posOffset>
            </wp:positionV>
            <wp:extent cx="984250" cy="655955"/>
            <wp:effectExtent l="0" t="0" r="6350" b="0"/>
            <wp:wrapSquare wrapText="bothSides"/>
            <wp:docPr id="1121582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50" cy="655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B6E2A32" wp14:editId="3C5578BC">
            <wp:simplePos x="0" y="0"/>
            <wp:positionH relativeFrom="margin">
              <wp:posOffset>4403725</wp:posOffset>
            </wp:positionH>
            <wp:positionV relativeFrom="margin">
              <wp:posOffset>-12379</wp:posOffset>
            </wp:positionV>
            <wp:extent cx="2031365" cy="816610"/>
            <wp:effectExtent l="0" t="0" r="6985" b="2540"/>
            <wp:wrapSquare wrapText="bothSides"/>
            <wp:docPr id="96780988" name="Picture 1" descr="A logo for a blind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0988" name="Picture 1" descr="A logo for a blind company&#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1365"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6E40BC" w14:textId="77777777" w:rsidR="00AC38EC" w:rsidRDefault="00AC38EC" w:rsidP="00AC38EC">
      <w:pPr>
        <w:spacing w:after="0" w:line="240" w:lineRule="auto"/>
      </w:pPr>
      <w:r>
        <w:rPr>
          <w:noProof/>
        </w:rPr>
        <w:drawing>
          <wp:anchor distT="0" distB="0" distL="114300" distR="114300" simplePos="0" relativeHeight="251660288" behindDoc="0" locked="0" layoutInCell="1" allowOverlap="1" wp14:anchorId="3605A375" wp14:editId="115C8D35">
            <wp:simplePos x="0" y="0"/>
            <wp:positionH relativeFrom="margin">
              <wp:posOffset>1649977</wp:posOffset>
            </wp:positionH>
            <wp:positionV relativeFrom="margin">
              <wp:posOffset>176530</wp:posOffset>
            </wp:positionV>
            <wp:extent cx="2731135" cy="333375"/>
            <wp:effectExtent l="0" t="0" r="0" b="9525"/>
            <wp:wrapSquare wrapText="bothSides"/>
            <wp:docPr id="986436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113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B62252" w14:textId="77777777" w:rsidR="00AC38EC" w:rsidRDefault="00AC38EC" w:rsidP="00AC38EC">
      <w:pPr>
        <w:spacing w:after="0" w:line="240" w:lineRule="auto"/>
      </w:pPr>
    </w:p>
    <w:p w14:paraId="5E4F7C34" w14:textId="77777777" w:rsidR="00AC38EC" w:rsidRDefault="00AC38EC" w:rsidP="00AC38EC">
      <w:pPr>
        <w:spacing w:after="0" w:line="240" w:lineRule="auto"/>
      </w:pPr>
    </w:p>
    <w:p w14:paraId="2A5CBD9E" w14:textId="77777777" w:rsidR="00AC38EC" w:rsidRDefault="00AC38EC" w:rsidP="00AC38EC">
      <w:pPr>
        <w:spacing w:after="0" w:line="240" w:lineRule="auto"/>
      </w:pPr>
    </w:p>
    <w:p w14:paraId="42E3315D" w14:textId="77777777" w:rsidR="00AC38EC" w:rsidRDefault="00AC38EC" w:rsidP="00AC38EC">
      <w:pPr>
        <w:spacing w:after="0" w:line="240" w:lineRule="auto"/>
      </w:pPr>
    </w:p>
    <w:p w14:paraId="20E983E5" w14:textId="77777777" w:rsidR="00AC38EC" w:rsidRDefault="00AC38EC" w:rsidP="00AC38EC">
      <w:pPr>
        <w:spacing w:after="0" w:line="240" w:lineRule="auto"/>
      </w:pPr>
      <w:r>
        <w:t>March 3, 2025</w:t>
      </w:r>
    </w:p>
    <w:p w14:paraId="3975AA21" w14:textId="77777777" w:rsidR="00AC38EC" w:rsidRDefault="00AC38EC" w:rsidP="00AC38EC">
      <w:pPr>
        <w:spacing w:after="0" w:line="240" w:lineRule="auto"/>
      </w:pPr>
    </w:p>
    <w:p w14:paraId="720C87D5" w14:textId="77777777" w:rsidR="00AC38EC" w:rsidRPr="00976242" w:rsidRDefault="00AC38EC" w:rsidP="00AC38EC">
      <w:pPr>
        <w:spacing w:after="0" w:line="240" w:lineRule="auto"/>
        <w:rPr>
          <w:u w:val="single"/>
        </w:rPr>
      </w:pPr>
      <w:r w:rsidRPr="00976242">
        <w:rPr>
          <w:u w:val="single"/>
        </w:rPr>
        <w:t>SUBMITTED ELECTRONICALLY</w:t>
      </w:r>
    </w:p>
    <w:p w14:paraId="65C3DA08" w14:textId="77777777" w:rsidR="00AC38EC" w:rsidRPr="00EF7D78" w:rsidRDefault="00AC38EC" w:rsidP="00AC38EC">
      <w:pPr>
        <w:spacing w:after="0" w:line="240" w:lineRule="auto"/>
        <w:rPr>
          <w:b/>
          <w:bCs/>
          <w:i/>
          <w:iCs/>
        </w:rPr>
      </w:pPr>
    </w:p>
    <w:p w14:paraId="2590553A" w14:textId="77777777" w:rsidR="00AC38EC" w:rsidRDefault="00AC38EC" w:rsidP="00AC38EC">
      <w:pPr>
        <w:spacing w:after="0" w:line="240" w:lineRule="auto"/>
      </w:pPr>
      <w:r w:rsidRPr="00976242">
        <w:t>Chairman Brendan Carr</w:t>
      </w:r>
    </w:p>
    <w:p w14:paraId="2D225043" w14:textId="77777777" w:rsidR="00AC38EC" w:rsidRDefault="00AC38EC" w:rsidP="00AC38EC">
      <w:pPr>
        <w:spacing w:after="0" w:line="240" w:lineRule="auto"/>
      </w:pPr>
      <w:r>
        <w:t>Federal Communications Commission</w:t>
      </w:r>
    </w:p>
    <w:p w14:paraId="186DEB0A" w14:textId="77777777" w:rsidR="00AC38EC" w:rsidRDefault="00AC38EC" w:rsidP="00AC38EC">
      <w:pPr>
        <w:spacing w:after="0" w:line="240" w:lineRule="auto"/>
      </w:pPr>
      <w:r>
        <w:t>45 L Street, NE</w:t>
      </w:r>
    </w:p>
    <w:p w14:paraId="4BDEAA29" w14:textId="77777777" w:rsidR="00AC38EC" w:rsidRDefault="00AC38EC" w:rsidP="00AC38EC">
      <w:pPr>
        <w:spacing w:after="0" w:line="240" w:lineRule="auto"/>
      </w:pPr>
      <w:r>
        <w:t>Washington, DC 20554</w:t>
      </w:r>
    </w:p>
    <w:p w14:paraId="3832C455" w14:textId="77777777" w:rsidR="00AC38EC" w:rsidRDefault="00AC38EC" w:rsidP="00AC38EC">
      <w:pPr>
        <w:spacing w:after="0" w:line="240" w:lineRule="auto"/>
      </w:pPr>
    </w:p>
    <w:p w14:paraId="0EA2B7C4" w14:textId="77777777" w:rsidR="00AC38EC" w:rsidRPr="00B05149" w:rsidRDefault="00AC38EC" w:rsidP="00AC38EC">
      <w:pPr>
        <w:spacing w:after="0" w:line="240" w:lineRule="auto"/>
        <w:ind w:left="720" w:hanging="720"/>
        <w:rPr>
          <w:b/>
          <w:bCs/>
        </w:rPr>
      </w:pPr>
      <w:r w:rsidRPr="00B05149">
        <w:rPr>
          <w:b/>
          <w:bCs/>
        </w:rPr>
        <w:t>RE:</w:t>
      </w:r>
      <w:r w:rsidRPr="00B05149">
        <w:rPr>
          <w:b/>
          <w:bCs/>
        </w:rPr>
        <w:tab/>
        <w:t xml:space="preserve">Joint Reply Comments </w:t>
      </w:r>
      <w:r>
        <w:rPr>
          <w:b/>
          <w:bCs/>
        </w:rPr>
        <w:t>Concerning the</w:t>
      </w:r>
      <w:r w:rsidRPr="00B05149">
        <w:rPr>
          <w:b/>
          <w:bCs/>
        </w:rPr>
        <w:t xml:space="preserve"> FCC’s Access to Video Conferencing Proposed Rule (CG Docket Nos. 23-161, 10-213, and 3-123)</w:t>
      </w:r>
    </w:p>
    <w:p w14:paraId="1370873D" w14:textId="77777777" w:rsidR="00AC38EC" w:rsidRPr="00F106BC" w:rsidRDefault="00AC38EC" w:rsidP="00AC38EC">
      <w:pPr>
        <w:spacing w:after="0" w:line="240" w:lineRule="auto"/>
        <w:rPr>
          <w:b/>
          <w:bCs/>
        </w:rPr>
      </w:pPr>
    </w:p>
    <w:p w14:paraId="5F00E901" w14:textId="77777777" w:rsidR="00AC38EC" w:rsidRDefault="00AC38EC" w:rsidP="00AC38EC">
      <w:pPr>
        <w:spacing w:after="0" w:line="240" w:lineRule="auto"/>
      </w:pPr>
      <w:r>
        <w:t>Dear Chairman Carr:</w:t>
      </w:r>
    </w:p>
    <w:p w14:paraId="40F7ADE5" w14:textId="77777777" w:rsidR="00AC38EC" w:rsidRDefault="00AC38EC" w:rsidP="00AC38EC">
      <w:pPr>
        <w:spacing w:after="0" w:line="240" w:lineRule="auto"/>
      </w:pPr>
    </w:p>
    <w:p w14:paraId="78D6FE8F" w14:textId="77777777" w:rsidR="00AC38EC" w:rsidRDefault="00AC38EC" w:rsidP="00AC38EC">
      <w:pPr>
        <w:spacing w:after="0" w:line="240" w:lineRule="auto"/>
      </w:pPr>
      <w:r>
        <w:t xml:space="preserve">The American Council of the Blind (ACB), the </w:t>
      </w:r>
      <w:r w:rsidRPr="00682706">
        <w:t>American Foundation for the Blind (AFB)</w:t>
      </w:r>
      <w:r>
        <w:t xml:space="preserve">, and Perkins School for the Blind (Perkins) appreciate the opportunity to reply to comments submitted in response to the Federal Communications Commission’s (FCC) proposed rule on access to </w:t>
      </w:r>
      <w:r w:rsidRPr="00451CEB">
        <w:t xml:space="preserve">interoperable </w:t>
      </w:r>
      <w:r>
        <w:t>video conferencing services (IVCS).</w:t>
      </w:r>
      <w:r w:rsidRPr="00B660FD">
        <w:t xml:space="preserve"> Our organizations collectively represent communities and individuals who are blind, deafblind, or have low vision, and we are united in our missions to ensure that people have equal opportunity to IVCS.</w:t>
      </w:r>
      <w:r>
        <w:t xml:space="preserve"> We offered our initial comments by letter dated </w:t>
      </w:r>
      <w:r w:rsidRPr="00B660FD">
        <w:t>February 3, 2025</w:t>
      </w:r>
      <w:r>
        <w:t>, and respectfully offer the following additional recommendations.</w:t>
      </w:r>
    </w:p>
    <w:p w14:paraId="6AF0A204" w14:textId="77777777" w:rsidR="00AC38EC" w:rsidRDefault="00AC38EC" w:rsidP="00AC38EC">
      <w:pPr>
        <w:spacing w:after="0" w:line="240" w:lineRule="auto"/>
      </w:pPr>
    </w:p>
    <w:p w14:paraId="2C846D37" w14:textId="77777777" w:rsidR="00AC38EC" w:rsidRPr="00B82F2F" w:rsidRDefault="00AC38EC" w:rsidP="00AC38EC">
      <w:pPr>
        <w:spacing w:after="0" w:line="240" w:lineRule="auto"/>
        <w:rPr>
          <w:b/>
          <w:bCs/>
        </w:rPr>
      </w:pPr>
      <w:r w:rsidRPr="00B82F2F">
        <w:rPr>
          <w:b/>
          <w:bCs/>
        </w:rPr>
        <w:t xml:space="preserve">FCC Should Not Delay Adoption of Performance Objectives </w:t>
      </w:r>
    </w:p>
    <w:p w14:paraId="6F5E90E6" w14:textId="77777777" w:rsidR="00AC38EC" w:rsidRDefault="00AC38EC" w:rsidP="00AC38EC">
      <w:pPr>
        <w:spacing w:after="0" w:line="240" w:lineRule="auto"/>
      </w:pPr>
    </w:p>
    <w:p w14:paraId="19E9B10E" w14:textId="77777777" w:rsidR="00AC38EC" w:rsidRDefault="00AC38EC" w:rsidP="00AC38EC">
      <w:pPr>
        <w:spacing w:after="0" w:line="240" w:lineRule="auto"/>
      </w:pPr>
      <w:r w:rsidRPr="00083AC5">
        <w:t xml:space="preserve">One commenter—the Consumer Technology Association—argued that </w:t>
      </w:r>
      <w:r>
        <w:t xml:space="preserve">it </w:t>
      </w:r>
      <w:r w:rsidRPr="00083AC5">
        <w:t>is “simply premature for the Commission to issue new IVCS regulations.”</w:t>
      </w:r>
      <w:r>
        <w:t xml:space="preserve"> We disagree. We continue to believe that it is critically important </w:t>
      </w:r>
      <w:r w:rsidRPr="00B660FD">
        <w:t xml:space="preserve">for </w:t>
      </w:r>
      <w:r>
        <w:t xml:space="preserve">the FCC to move forward with adopting new performance objectives to </w:t>
      </w:r>
      <w:r w:rsidRPr="00B660FD">
        <w:t>enhance accessibility in video conferencing platforms for individuals with disabilities.</w:t>
      </w:r>
      <w:r>
        <w:t xml:space="preserve"> </w:t>
      </w:r>
      <w:r w:rsidRPr="00B660FD">
        <w:t xml:space="preserve">Video conferencing is an essential communication technology that enables individuals to participate in remote and hybrid professional, </w:t>
      </w:r>
      <w:r>
        <w:t xml:space="preserve">civic, </w:t>
      </w:r>
      <w:r w:rsidRPr="00B660FD">
        <w:t>educational, and personal arrangements.</w:t>
      </w:r>
      <w:r>
        <w:t xml:space="preserve"> T</w:t>
      </w:r>
      <w:r w:rsidRPr="00EA3B82">
        <w:t xml:space="preserve">he </w:t>
      </w:r>
      <w:r>
        <w:t xml:space="preserve">FCC’s </w:t>
      </w:r>
      <w:r w:rsidRPr="00EA3B82">
        <w:t xml:space="preserve">current </w:t>
      </w:r>
      <w:r w:rsidRPr="004E6043">
        <w:t xml:space="preserve">performance objectives </w:t>
      </w:r>
      <w:r w:rsidRPr="00EA3B82">
        <w:t xml:space="preserve">are not adequate to meet the needs of individuals who utilize assistive devices and technologies to fully participate in video conferencing. Accessibility of video conferencing platforms is not consistent, and while many platforms have accessibility features, others are difficult to navigate for individuals who are blind, deafblind, or have low vision. </w:t>
      </w:r>
      <w:r>
        <w:t>It is time to amend</w:t>
      </w:r>
      <w:r w:rsidRPr="00EA3B82">
        <w:t xml:space="preserve"> the performance objectives to advance the goal of accessibility.</w:t>
      </w:r>
      <w:r>
        <w:t xml:space="preserve"> Moreover, our organizations support technological</w:t>
      </w:r>
      <w:r w:rsidRPr="004C0F8E">
        <w:t xml:space="preserve"> innovation, </w:t>
      </w:r>
      <w:r>
        <w:t xml:space="preserve">and we disagree with any </w:t>
      </w:r>
      <w:r w:rsidRPr="004C0F8E">
        <w:t xml:space="preserve">claims that setting </w:t>
      </w:r>
      <w:r>
        <w:t>performance objectives to encourage accessibility in the industry stifles innovation</w:t>
      </w:r>
      <w:r w:rsidRPr="004C0F8E">
        <w:t>.</w:t>
      </w:r>
    </w:p>
    <w:p w14:paraId="353A3656" w14:textId="77777777" w:rsidR="00AC38EC" w:rsidRPr="00892BC2" w:rsidRDefault="00AC38EC" w:rsidP="00AC38EC">
      <w:pPr>
        <w:spacing w:after="0" w:line="240" w:lineRule="auto"/>
      </w:pPr>
    </w:p>
    <w:p w14:paraId="15434953" w14:textId="77777777" w:rsidR="00AC38EC" w:rsidRDefault="00AC38EC" w:rsidP="00AC38EC">
      <w:pPr>
        <w:spacing w:after="0" w:line="240" w:lineRule="auto"/>
        <w:rPr>
          <w:b/>
          <w:bCs/>
        </w:rPr>
      </w:pPr>
      <w:r>
        <w:rPr>
          <w:b/>
          <w:bCs/>
        </w:rPr>
        <w:t>The FCC Should Amend the P</w:t>
      </w:r>
      <w:r w:rsidRPr="006566A4">
        <w:rPr>
          <w:b/>
          <w:bCs/>
        </w:rPr>
        <w:t xml:space="preserve">erformance </w:t>
      </w:r>
      <w:r>
        <w:rPr>
          <w:b/>
          <w:bCs/>
        </w:rPr>
        <w:t>O</w:t>
      </w:r>
      <w:r w:rsidRPr="006566A4">
        <w:rPr>
          <w:b/>
          <w:bCs/>
        </w:rPr>
        <w:t xml:space="preserve">bjective to </w:t>
      </w:r>
      <w:r>
        <w:rPr>
          <w:b/>
          <w:bCs/>
        </w:rPr>
        <w:t>I</w:t>
      </w:r>
      <w:r w:rsidRPr="006566A4">
        <w:rPr>
          <w:b/>
          <w:bCs/>
        </w:rPr>
        <w:t xml:space="preserve">nclude </w:t>
      </w:r>
      <w:r>
        <w:rPr>
          <w:b/>
          <w:bCs/>
        </w:rPr>
        <w:t>the Provision of A</w:t>
      </w:r>
      <w:r w:rsidRPr="006566A4">
        <w:rPr>
          <w:b/>
          <w:bCs/>
        </w:rPr>
        <w:t>udio and Visual Image Description</w:t>
      </w:r>
      <w:r>
        <w:rPr>
          <w:b/>
          <w:bCs/>
        </w:rPr>
        <w:t xml:space="preserve"> Services</w:t>
      </w:r>
    </w:p>
    <w:p w14:paraId="5160C4F3" w14:textId="77777777" w:rsidR="00AC38EC" w:rsidRPr="00AF6CAA" w:rsidRDefault="00AC38EC" w:rsidP="00AC38EC">
      <w:pPr>
        <w:spacing w:after="0" w:line="240" w:lineRule="auto"/>
        <w:rPr>
          <w:b/>
          <w:bCs/>
        </w:rPr>
      </w:pPr>
    </w:p>
    <w:p w14:paraId="08708947" w14:textId="77777777" w:rsidR="00AC38EC" w:rsidRDefault="00AC38EC" w:rsidP="00AC38EC">
      <w:pPr>
        <w:spacing w:after="0" w:line="240" w:lineRule="auto"/>
      </w:pPr>
      <w:r>
        <w:t>One commenter—Epic—asserted that the</w:t>
      </w:r>
      <w:r w:rsidRPr="00083AC5">
        <w:t xml:space="preserve"> </w:t>
      </w:r>
      <w:r>
        <w:t>“</w:t>
      </w:r>
      <w:r w:rsidRPr="00083AC5">
        <w:t>inclusion of audio descriptions in IVCS does not meaningfully enhance user experience as it might in other settings</w:t>
      </w:r>
      <w:r>
        <w:t xml:space="preserve">.” This assertion is factually incorrect and ignores </w:t>
      </w:r>
      <w:r>
        <w:lastRenderedPageBreak/>
        <w:t xml:space="preserve">the needs of </w:t>
      </w:r>
      <w:r w:rsidRPr="00D574F4">
        <w:t>individuals who are blind</w:t>
      </w:r>
      <w:r>
        <w:t xml:space="preserve">, deafblind, or </w:t>
      </w:r>
      <w:r w:rsidRPr="00D574F4">
        <w:t>have low vision</w:t>
      </w:r>
      <w:r>
        <w:t xml:space="preserve"> who utilize </w:t>
      </w:r>
      <w:r w:rsidRPr="00E6041C">
        <w:t>assistive technologies and accessibility features</w:t>
      </w:r>
      <w:r>
        <w:t xml:space="preserve"> to </w:t>
      </w:r>
      <w:r w:rsidRPr="00D574F4">
        <w:t>experience visual content</w:t>
      </w:r>
      <w:r>
        <w:t xml:space="preserve"> and engage with </w:t>
      </w:r>
      <w:r w:rsidRPr="00E6041C">
        <w:t>IVCS platforms</w:t>
      </w:r>
      <w:r>
        <w:t>. Accessibility is not only achievable but should be viewed as fundamental for effective communication. We are disheartened to learn of the position of Epic—a</w:t>
      </w:r>
      <w:r w:rsidRPr="00624A0D">
        <w:t xml:space="preserve"> leading provider of </w:t>
      </w:r>
      <w:r>
        <w:t>health information technology. A</w:t>
      </w:r>
      <w:r w:rsidRPr="004C0F8E">
        <w:t>udio description is</w:t>
      </w:r>
      <w:r>
        <w:t xml:space="preserve"> an</w:t>
      </w:r>
      <w:r w:rsidRPr="004C0F8E">
        <w:t xml:space="preserve"> essential </w:t>
      </w:r>
      <w:r>
        <w:t xml:space="preserve">feature </w:t>
      </w:r>
      <w:r w:rsidRPr="004C0F8E">
        <w:t>for accessibility</w:t>
      </w:r>
      <w:r>
        <w:t xml:space="preserve">, </w:t>
      </w:r>
      <w:r w:rsidRPr="004C0F8E">
        <w:t>especially in</w:t>
      </w:r>
      <w:r>
        <w:t xml:space="preserve"> the medical context. In the aftermath of the COVID-19 public health emergency, telehealth has become a </w:t>
      </w:r>
      <w:r w:rsidRPr="00651367">
        <w:t>critical resource</w:t>
      </w:r>
      <w:r>
        <w:t xml:space="preserve"> and delivery of healthcare services. Patients—including patients who are</w:t>
      </w:r>
      <w:r w:rsidRPr="004C0F8E">
        <w:t xml:space="preserve"> blind</w:t>
      </w:r>
      <w:r>
        <w:t>, deafblind, or have</w:t>
      </w:r>
      <w:r w:rsidRPr="004C0F8E">
        <w:t xml:space="preserve"> low-vision</w:t>
      </w:r>
      <w:r>
        <w:t xml:space="preserve">—should </w:t>
      </w:r>
      <w:r w:rsidRPr="004C0F8E">
        <w:t>have the same right</w:t>
      </w:r>
      <w:r>
        <w:t>s</w:t>
      </w:r>
      <w:r w:rsidRPr="004C0F8E">
        <w:t xml:space="preserve"> to access medical </w:t>
      </w:r>
      <w:r>
        <w:t>information</w:t>
      </w:r>
      <w:r w:rsidRPr="004C0F8E">
        <w:t>, visual demonstrations, and other essential content</w:t>
      </w:r>
      <w:r>
        <w:t xml:space="preserve"> via IVCS platforms. Simply put, the </w:t>
      </w:r>
      <w:r w:rsidRPr="00651367">
        <w:t xml:space="preserve">inclusion of audio descriptions in IVCS </w:t>
      </w:r>
      <w:r w:rsidRPr="00133F33">
        <w:rPr>
          <w:i/>
          <w:iCs/>
        </w:rPr>
        <w:t>does</w:t>
      </w:r>
      <w:r w:rsidRPr="00651367">
        <w:t xml:space="preserve"> meaningfully enhance user experience</w:t>
      </w:r>
      <w:r>
        <w:t xml:space="preserve">. For instance, a healthcare provider may choose to host a webinar about </w:t>
      </w:r>
      <w:r w:rsidRPr="00A85A7E">
        <w:t>COVID-19</w:t>
      </w:r>
      <w:r>
        <w:t xml:space="preserve"> and</w:t>
      </w:r>
      <w:r w:rsidRPr="00A85A7E">
        <w:t xml:space="preserve"> </w:t>
      </w:r>
      <w:r>
        <w:t xml:space="preserve">show participants </w:t>
      </w:r>
      <w:r w:rsidRPr="00A85A7E">
        <w:t xml:space="preserve">a brief video that </w:t>
      </w:r>
      <w:r>
        <w:t xml:space="preserve">visually </w:t>
      </w:r>
      <w:r w:rsidRPr="00A85A7E">
        <w:t xml:space="preserve">demonstrates how to use a test kit. Without audio description support in the IVCS platform, users who cannot see the video </w:t>
      </w:r>
      <w:r>
        <w:t>will be unable to gather important medical instructions</w:t>
      </w:r>
      <w:r w:rsidRPr="00A85A7E">
        <w:t xml:space="preserve">. </w:t>
      </w:r>
      <w:r>
        <w:t>Accessibility should not be seen as a burden but as an avenue for equal participation in everyday life.</w:t>
      </w:r>
    </w:p>
    <w:p w14:paraId="604F2AF4" w14:textId="77777777" w:rsidR="00AC38EC" w:rsidRPr="008E1403" w:rsidRDefault="00AC38EC" w:rsidP="00AC38EC">
      <w:pPr>
        <w:spacing w:after="0" w:line="240" w:lineRule="auto"/>
      </w:pPr>
    </w:p>
    <w:p w14:paraId="582FBB64" w14:textId="77777777" w:rsidR="00AC38EC" w:rsidRDefault="00AC38EC" w:rsidP="00AC38EC">
      <w:pPr>
        <w:spacing w:after="0" w:line="240" w:lineRule="auto"/>
        <w:rPr>
          <w:b/>
          <w:bCs/>
        </w:rPr>
      </w:pPr>
      <w:r>
        <w:rPr>
          <w:b/>
          <w:bCs/>
        </w:rPr>
        <w:t>The FCC Should Not Expand its Current Waivers/Exemption</w:t>
      </w:r>
    </w:p>
    <w:p w14:paraId="3A34C29F" w14:textId="77777777" w:rsidR="00AC38EC" w:rsidRPr="004C0F8E" w:rsidRDefault="00AC38EC" w:rsidP="00AC38EC">
      <w:pPr>
        <w:spacing w:after="0" w:line="240" w:lineRule="auto"/>
        <w:rPr>
          <w:b/>
          <w:bCs/>
        </w:rPr>
      </w:pPr>
    </w:p>
    <w:p w14:paraId="151B18B1" w14:textId="77777777" w:rsidR="00AC38EC" w:rsidRPr="00892BC2" w:rsidRDefault="00AC38EC" w:rsidP="00AC38EC">
      <w:pPr>
        <w:spacing w:after="0" w:line="240" w:lineRule="auto"/>
      </w:pPr>
      <w:r>
        <w:t>In its comments, CTA urged the FCC to</w:t>
      </w:r>
      <w:r w:rsidRPr="00E11671">
        <w:t xml:space="preserve"> provide a </w:t>
      </w:r>
      <w:r>
        <w:t>“</w:t>
      </w:r>
      <w:r w:rsidRPr="00E11671">
        <w:t>targeted exemptions as with other accessibility rules”</w:t>
      </w:r>
      <w:r>
        <w:t xml:space="preserve"> and </w:t>
      </w:r>
      <w:r w:rsidRPr="00E11671">
        <w:t>waivers</w:t>
      </w:r>
      <w:r>
        <w:t xml:space="preserve"> “</w:t>
      </w:r>
      <w:r w:rsidRPr="00E11671">
        <w:t xml:space="preserve">if complying with a rule is technically infeasible.” </w:t>
      </w:r>
      <w:r>
        <w:t xml:space="preserve">We believe that current FCC waivers and exemption provide appropriate flexibility. We do not believe that additional waivers/exemptions are warranted. </w:t>
      </w:r>
      <w:r w:rsidRPr="004C0F8E">
        <w:t>The</w:t>
      </w:r>
      <w:r>
        <w:t xml:space="preserve"> FCC should </w:t>
      </w:r>
      <w:r w:rsidRPr="004C0F8E">
        <w:t>ensur</w:t>
      </w:r>
      <w:r>
        <w:t xml:space="preserve">e </w:t>
      </w:r>
      <w:r w:rsidRPr="004C0F8E">
        <w:t xml:space="preserve">that companies </w:t>
      </w:r>
      <w:r>
        <w:t>are not</w:t>
      </w:r>
      <w:r w:rsidRPr="004C0F8E">
        <w:t xml:space="preserve"> exploit</w:t>
      </w:r>
      <w:r>
        <w:t xml:space="preserve">ing </w:t>
      </w:r>
      <w:r w:rsidRPr="004C0F8E">
        <w:t>waivers as loophole</w:t>
      </w:r>
      <w:r>
        <w:t>s</w:t>
      </w:r>
      <w:r w:rsidRPr="004C0F8E">
        <w:t xml:space="preserve"> to </w:t>
      </w:r>
      <w:r>
        <w:t xml:space="preserve">inappropriately </w:t>
      </w:r>
      <w:r w:rsidRPr="004C0F8E">
        <w:t>delay compliance.</w:t>
      </w:r>
      <w:r>
        <w:t xml:space="preserve"> </w:t>
      </w:r>
    </w:p>
    <w:p w14:paraId="4B8F0A5A" w14:textId="77777777" w:rsidR="00AC38EC" w:rsidRPr="00200C55" w:rsidRDefault="00AC38EC" w:rsidP="00AC38EC">
      <w:pPr>
        <w:spacing w:after="0" w:line="240" w:lineRule="auto"/>
      </w:pPr>
    </w:p>
    <w:p w14:paraId="498D068C" w14:textId="77777777" w:rsidR="00AC38EC" w:rsidRDefault="00AC38EC" w:rsidP="00AC38EC">
      <w:pPr>
        <w:spacing w:after="0" w:line="240" w:lineRule="auto"/>
        <w:jc w:val="center"/>
        <w:rPr>
          <w:b/>
          <w:bCs/>
        </w:rPr>
      </w:pPr>
      <w:r>
        <w:rPr>
          <w:b/>
          <w:bCs/>
        </w:rPr>
        <w:t>***</w:t>
      </w:r>
    </w:p>
    <w:p w14:paraId="4240F942" w14:textId="77777777" w:rsidR="00AC38EC" w:rsidRDefault="00AC38EC" w:rsidP="00AC38EC">
      <w:pPr>
        <w:spacing w:after="0" w:line="240" w:lineRule="auto"/>
        <w:rPr>
          <w:b/>
          <w:bCs/>
        </w:rPr>
      </w:pPr>
    </w:p>
    <w:p w14:paraId="51A72EFE" w14:textId="77777777" w:rsidR="00AC38EC" w:rsidRDefault="00AC38EC" w:rsidP="00AC38EC">
      <w:pPr>
        <w:spacing w:after="0" w:line="240" w:lineRule="auto"/>
      </w:pPr>
      <w:r>
        <w:t xml:space="preserve">We commend the FCC for its leadership in addressing accessibility in video conferencing and appreciate the opportunity to provide reply comments. Should you have any questions or require further information, please contact </w:t>
      </w:r>
      <w:r w:rsidRPr="00682706">
        <w:t>Claire Stanley</w:t>
      </w:r>
      <w:r>
        <w:t xml:space="preserve"> (</w:t>
      </w:r>
      <w:hyperlink r:id="rId11" w:history="1">
        <w:r w:rsidRPr="002F3608">
          <w:rPr>
            <w:rStyle w:val="Hyperlink"/>
          </w:rPr>
          <w:t>cstanley@acb.org</w:t>
        </w:r>
      </w:hyperlink>
      <w:r>
        <w:t xml:space="preserve">) at ACB, </w:t>
      </w:r>
      <w:r w:rsidRPr="00682706">
        <w:t xml:space="preserve">Sarah Malaier </w:t>
      </w:r>
      <w:r>
        <w:t>(</w:t>
      </w:r>
      <w:hyperlink r:id="rId12" w:history="1">
        <w:r w:rsidRPr="002F3608">
          <w:rPr>
            <w:rStyle w:val="Hyperlink"/>
          </w:rPr>
          <w:t>smalaier@afb.org</w:t>
        </w:r>
      </w:hyperlink>
      <w:r>
        <w:t>) at AFB, and</w:t>
      </w:r>
      <w:r w:rsidRPr="00682706">
        <w:t xml:space="preserve"> Kim Charlson </w:t>
      </w:r>
      <w:r>
        <w:t>(</w:t>
      </w:r>
      <w:hyperlink r:id="rId13" w:history="1">
        <w:r w:rsidRPr="002F3608">
          <w:rPr>
            <w:rStyle w:val="Hyperlink"/>
          </w:rPr>
          <w:t>Kim.Charlson@perkins.org</w:t>
        </w:r>
      </w:hyperlink>
      <w:r>
        <w:t xml:space="preserve">) at Perkins. </w:t>
      </w:r>
    </w:p>
    <w:p w14:paraId="15C2B432" w14:textId="77777777" w:rsidR="00AC38EC" w:rsidRDefault="00AC38EC" w:rsidP="00AC38EC">
      <w:pPr>
        <w:spacing w:after="0" w:line="240" w:lineRule="auto"/>
      </w:pPr>
    </w:p>
    <w:p w14:paraId="6987A78C" w14:textId="77777777" w:rsidR="00AC38EC" w:rsidRDefault="00AC38EC" w:rsidP="00AC38EC">
      <w:pPr>
        <w:spacing w:after="0" w:line="240" w:lineRule="auto"/>
      </w:pPr>
      <w:r>
        <w:t>Sincerely,</w:t>
      </w:r>
    </w:p>
    <w:p w14:paraId="14338758" w14:textId="77777777" w:rsidR="00AC38EC" w:rsidRDefault="00AC38EC" w:rsidP="00AC38E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C38EC" w14:paraId="7A94A088" w14:textId="77777777" w:rsidTr="00323A03">
        <w:tc>
          <w:tcPr>
            <w:tcW w:w="4675" w:type="dxa"/>
          </w:tcPr>
          <w:p w14:paraId="17DBFA83" w14:textId="77777777" w:rsidR="00AC38EC" w:rsidRDefault="00AC38EC" w:rsidP="00323A03">
            <w:r>
              <w:rPr>
                <w:noProof/>
              </w:rPr>
              <w:drawing>
                <wp:inline distT="0" distB="0" distL="0" distR="0" wp14:anchorId="26A1EB98" wp14:editId="2CD7E8AF">
                  <wp:extent cx="1800665" cy="380387"/>
                  <wp:effectExtent l="0" t="0" r="9525" b="635"/>
                  <wp:docPr id="2099114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542" cy="380783"/>
                          </a:xfrm>
                          <a:prstGeom prst="rect">
                            <a:avLst/>
                          </a:prstGeom>
                          <a:noFill/>
                          <a:ln>
                            <a:noFill/>
                          </a:ln>
                        </pic:spPr>
                      </pic:pic>
                    </a:graphicData>
                  </a:graphic>
                </wp:inline>
              </w:drawing>
            </w:r>
            <w:r>
              <w:t xml:space="preserve"> </w:t>
            </w:r>
          </w:p>
          <w:p w14:paraId="6D262843" w14:textId="77777777" w:rsidR="00AC38EC" w:rsidRDefault="00AC38EC" w:rsidP="00323A03">
            <w:r>
              <w:t>Sarah Malaier</w:t>
            </w:r>
          </w:p>
          <w:p w14:paraId="6BE386C7" w14:textId="77777777" w:rsidR="00AC38EC" w:rsidRDefault="00AC38EC" w:rsidP="00323A03">
            <w:r>
              <w:t>Senior Advisor, Public Policy and Research</w:t>
            </w:r>
          </w:p>
          <w:p w14:paraId="12B664A0" w14:textId="77777777" w:rsidR="00AC38EC" w:rsidRDefault="00AC38EC" w:rsidP="00323A03">
            <w:r>
              <w:t>American Foundation for the Blind</w:t>
            </w:r>
          </w:p>
        </w:tc>
        <w:tc>
          <w:tcPr>
            <w:tcW w:w="4675" w:type="dxa"/>
          </w:tcPr>
          <w:p w14:paraId="7A3F09FD" w14:textId="77777777" w:rsidR="00AC38EC" w:rsidRDefault="00AC38EC" w:rsidP="00323A03">
            <w:r w:rsidRPr="003160C4">
              <w:rPr>
                <w:noProof/>
              </w:rPr>
              <w:drawing>
                <wp:inline distT="0" distB="0" distL="0" distR="0" wp14:anchorId="72063978" wp14:editId="73D79DC3">
                  <wp:extent cx="984738" cy="357340"/>
                  <wp:effectExtent l="0" t="0" r="6350" b="5080"/>
                  <wp:docPr id="1623957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57488" name=""/>
                          <pic:cNvPicPr/>
                        </pic:nvPicPr>
                        <pic:blipFill rotWithShape="1">
                          <a:blip r:embed="rId15"/>
                          <a:srcRect l="-672" t="-4848" r="49733" b="4848"/>
                          <a:stretch/>
                        </pic:blipFill>
                        <pic:spPr bwMode="auto">
                          <a:xfrm>
                            <a:off x="0" y="0"/>
                            <a:ext cx="1028446" cy="373201"/>
                          </a:xfrm>
                          <a:prstGeom prst="rect">
                            <a:avLst/>
                          </a:prstGeom>
                          <a:ln>
                            <a:noFill/>
                          </a:ln>
                          <a:extLst>
                            <a:ext uri="{53640926-AAD7-44D8-BBD7-CCE9431645EC}">
                              <a14:shadowObscured xmlns:a14="http://schemas.microsoft.com/office/drawing/2010/main"/>
                            </a:ext>
                          </a:extLst>
                        </pic:spPr>
                      </pic:pic>
                    </a:graphicData>
                  </a:graphic>
                </wp:inline>
              </w:drawing>
            </w:r>
          </w:p>
          <w:p w14:paraId="5F6F3422" w14:textId="77777777" w:rsidR="00AC38EC" w:rsidRDefault="00AC38EC" w:rsidP="00323A03">
            <w:r>
              <w:t xml:space="preserve">Dave Power </w:t>
            </w:r>
          </w:p>
          <w:p w14:paraId="482FD4B1" w14:textId="77777777" w:rsidR="00AC38EC" w:rsidRDefault="00AC38EC" w:rsidP="00323A03">
            <w:r>
              <w:t>President and Chief Executive Officer</w:t>
            </w:r>
          </w:p>
          <w:p w14:paraId="6DFF6A0F" w14:textId="77777777" w:rsidR="00AC38EC" w:rsidRDefault="00AC38EC" w:rsidP="00323A03">
            <w:r>
              <w:t>Perkins School for the Blind</w:t>
            </w:r>
          </w:p>
        </w:tc>
      </w:tr>
      <w:tr w:rsidR="00AC38EC" w14:paraId="19E004BD" w14:textId="77777777" w:rsidTr="00323A03">
        <w:tc>
          <w:tcPr>
            <w:tcW w:w="4675" w:type="dxa"/>
          </w:tcPr>
          <w:p w14:paraId="32DF6E94" w14:textId="77777777" w:rsidR="00AC38EC" w:rsidRDefault="00AC38EC" w:rsidP="00323A03">
            <w:r>
              <w:rPr>
                <w:noProof/>
              </w:rPr>
              <w:drawing>
                <wp:inline distT="0" distB="0" distL="0" distR="0" wp14:anchorId="31CC34B5" wp14:editId="020EC8C4">
                  <wp:extent cx="1913206" cy="494795"/>
                  <wp:effectExtent l="0" t="0" r="0" b="635"/>
                  <wp:docPr id="16951644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6309" cy="495597"/>
                          </a:xfrm>
                          <a:prstGeom prst="rect">
                            <a:avLst/>
                          </a:prstGeom>
                          <a:noFill/>
                          <a:ln>
                            <a:noFill/>
                          </a:ln>
                        </pic:spPr>
                      </pic:pic>
                    </a:graphicData>
                  </a:graphic>
                </wp:inline>
              </w:drawing>
            </w:r>
          </w:p>
          <w:p w14:paraId="40A1F045" w14:textId="77777777" w:rsidR="00AC38EC" w:rsidRPr="00137D89" w:rsidRDefault="00AC38EC" w:rsidP="00323A03">
            <w:r w:rsidRPr="00137D89">
              <w:t>Kim Charlson, Executive Director</w:t>
            </w:r>
          </w:p>
          <w:p w14:paraId="1F8B4C01" w14:textId="77777777" w:rsidR="00AC38EC" w:rsidRDefault="00AC38EC" w:rsidP="00323A03">
            <w:r w:rsidRPr="00137D89">
              <w:t>Perkins Braille &amp; Talking Book Library</w:t>
            </w:r>
          </w:p>
          <w:p w14:paraId="3DEF7A09" w14:textId="77777777" w:rsidR="00AC38EC" w:rsidRDefault="00AC38EC" w:rsidP="00323A03">
            <w:r>
              <w:t>Perkins School for the Blind</w:t>
            </w:r>
          </w:p>
        </w:tc>
        <w:tc>
          <w:tcPr>
            <w:tcW w:w="4675" w:type="dxa"/>
          </w:tcPr>
          <w:p w14:paraId="27298389" w14:textId="77777777" w:rsidR="00AC38EC" w:rsidRDefault="00AC38EC" w:rsidP="00323A03">
            <w:r>
              <w:rPr>
                <w:noProof/>
              </w:rPr>
              <w:drawing>
                <wp:anchor distT="0" distB="0" distL="114300" distR="114300" simplePos="0" relativeHeight="251662336" behindDoc="0" locked="0" layoutInCell="1" allowOverlap="1" wp14:anchorId="0C38C5D9" wp14:editId="790AC39D">
                  <wp:simplePos x="0" y="0"/>
                  <wp:positionH relativeFrom="margin">
                    <wp:posOffset>26035</wp:posOffset>
                  </wp:positionH>
                  <wp:positionV relativeFrom="margin">
                    <wp:posOffset>80010</wp:posOffset>
                  </wp:positionV>
                  <wp:extent cx="1313815" cy="323215"/>
                  <wp:effectExtent l="0" t="0" r="635" b="635"/>
                  <wp:wrapSquare wrapText="bothSides"/>
                  <wp:docPr id="1192448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3815"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7EA7F78E" w14:textId="77777777" w:rsidR="00AC38EC" w:rsidRDefault="00AC38EC" w:rsidP="00323A03"/>
          <w:p w14:paraId="0CD10C28" w14:textId="77777777" w:rsidR="00AC38EC" w:rsidRDefault="00AC38EC" w:rsidP="00323A03"/>
          <w:p w14:paraId="4ACC20E3" w14:textId="77777777" w:rsidR="00AC38EC" w:rsidRDefault="00AC38EC" w:rsidP="00323A03">
            <w:r>
              <w:t>Claire Stanley, JD</w:t>
            </w:r>
          </w:p>
          <w:p w14:paraId="141693D0" w14:textId="77777777" w:rsidR="00AC38EC" w:rsidRDefault="00AC38EC" w:rsidP="00323A03">
            <w:r>
              <w:t>Director of Advocacy and Governmental Affairs</w:t>
            </w:r>
          </w:p>
          <w:p w14:paraId="413142E4" w14:textId="77777777" w:rsidR="00AC38EC" w:rsidRDefault="00AC38EC" w:rsidP="00323A03">
            <w:r>
              <w:t>American Council of the Blind</w:t>
            </w:r>
          </w:p>
        </w:tc>
      </w:tr>
    </w:tbl>
    <w:p w14:paraId="42228D51" w14:textId="77777777" w:rsidR="00AC38EC" w:rsidRPr="003D25DC" w:rsidRDefault="00AC38EC" w:rsidP="00AC38EC">
      <w:pPr>
        <w:spacing w:after="0" w:line="240" w:lineRule="auto"/>
      </w:pPr>
    </w:p>
    <w:p w14:paraId="53F65ED6" w14:textId="77777777" w:rsidR="00200C55" w:rsidRPr="00AC38EC" w:rsidRDefault="00200C55" w:rsidP="00AC38EC"/>
    <w:sectPr w:rsidR="00200C55" w:rsidRPr="00AC38EC">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E1C2" w14:textId="77777777" w:rsidR="00B939E9" w:rsidRDefault="00B939E9" w:rsidP="007916B9">
      <w:pPr>
        <w:spacing w:after="0" w:line="240" w:lineRule="auto"/>
      </w:pPr>
      <w:r>
        <w:separator/>
      </w:r>
    </w:p>
  </w:endnote>
  <w:endnote w:type="continuationSeparator" w:id="0">
    <w:p w14:paraId="2ACDC2D2" w14:textId="77777777" w:rsidR="00B939E9" w:rsidRDefault="00B939E9" w:rsidP="0079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165938"/>
      <w:docPartObj>
        <w:docPartGallery w:val="Page Numbers (Bottom of Page)"/>
        <w:docPartUnique/>
      </w:docPartObj>
    </w:sdtPr>
    <w:sdtEndPr>
      <w:rPr>
        <w:noProof/>
      </w:rPr>
    </w:sdtEndPr>
    <w:sdtContent>
      <w:p w14:paraId="340B365F" w14:textId="465EE237" w:rsidR="00197545" w:rsidRDefault="00197545">
        <w:pPr>
          <w:pStyle w:val="Footer"/>
        </w:pPr>
        <w:r>
          <w:fldChar w:fldCharType="begin"/>
        </w:r>
        <w:r>
          <w:instrText xml:space="preserve"> PAGE   \* MERGEFORMAT </w:instrText>
        </w:r>
        <w:r>
          <w:fldChar w:fldCharType="separate"/>
        </w:r>
        <w:r>
          <w:rPr>
            <w:noProof/>
          </w:rPr>
          <w:t>2</w:t>
        </w:r>
        <w:r>
          <w:rPr>
            <w:noProof/>
          </w:rPr>
          <w:fldChar w:fldCharType="end"/>
        </w:r>
      </w:p>
    </w:sdtContent>
  </w:sdt>
  <w:p w14:paraId="29E4626C" w14:textId="77777777" w:rsidR="00197545" w:rsidRDefault="00197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C240" w14:textId="77777777" w:rsidR="00B939E9" w:rsidRDefault="00B939E9" w:rsidP="007916B9">
      <w:pPr>
        <w:spacing w:after="0" w:line="240" w:lineRule="auto"/>
      </w:pPr>
      <w:r>
        <w:separator/>
      </w:r>
    </w:p>
  </w:footnote>
  <w:footnote w:type="continuationSeparator" w:id="0">
    <w:p w14:paraId="61DD948B" w14:textId="77777777" w:rsidR="00B939E9" w:rsidRDefault="00B939E9" w:rsidP="00791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FA6"/>
    <w:multiLevelType w:val="hybridMultilevel"/>
    <w:tmpl w:val="98243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02F9B"/>
    <w:multiLevelType w:val="hybridMultilevel"/>
    <w:tmpl w:val="5BBA5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3700D"/>
    <w:multiLevelType w:val="hybridMultilevel"/>
    <w:tmpl w:val="F8684E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E694B"/>
    <w:multiLevelType w:val="hybridMultilevel"/>
    <w:tmpl w:val="593E0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75AC5"/>
    <w:multiLevelType w:val="hybridMultilevel"/>
    <w:tmpl w:val="1AD010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9232BF"/>
    <w:multiLevelType w:val="hybridMultilevel"/>
    <w:tmpl w:val="FFFFFFFF"/>
    <w:lvl w:ilvl="0" w:tplc="A04047DC">
      <w:numFmt w:val="bullet"/>
      <w:lvlText w:val="-"/>
      <w:lvlJc w:val="left"/>
      <w:pPr>
        <w:ind w:left="480" w:hanging="360"/>
      </w:pPr>
      <w:rPr>
        <w:rFonts w:ascii="Aptos" w:eastAsia="Times New Roman" w:hAnsi="Aptos" w:hint="default"/>
      </w:rPr>
    </w:lvl>
    <w:lvl w:ilvl="1" w:tplc="04090003">
      <w:start w:val="1"/>
      <w:numFmt w:val="bullet"/>
      <w:lvlText w:val="o"/>
      <w:lvlJc w:val="left"/>
      <w:pPr>
        <w:ind w:left="1200" w:hanging="360"/>
      </w:pPr>
      <w:rPr>
        <w:rFonts w:ascii="Courier New" w:hAnsi="Courier New" w:cs="Times New Roman"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Times New Roman"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Times New Roman" w:hint="default"/>
      </w:rPr>
    </w:lvl>
    <w:lvl w:ilvl="8" w:tplc="04090005">
      <w:start w:val="1"/>
      <w:numFmt w:val="bullet"/>
      <w:lvlText w:val=""/>
      <w:lvlJc w:val="left"/>
      <w:pPr>
        <w:ind w:left="6240" w:hanging="360"/>
      </w:pPr>
      <w:rPr>
        <w:rFonts w:ascii="Wingdings" w:hAnsi="Wingdings" w:hint="default"/>
      </w:rPr>
    </w:lvl>
  </w:abstractNum>
  <w:abstractNum w:abstractNumId="6" w15:restartNumberingAfterBreak="0">
    <w:nsid w:val="3EC708CD"/>
    <w:multiLevelType w:val="hybridMultilevel"/>
    <w:tmpl w:val="B40EF4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650B87"/>
    <w:multiLevelType w:val="hybridMultilevel"/>
    <w:tmpl w:val="CBC4B6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BC7832"/>
    <w:multiLevelType w:val="hybridMultilevel"/>
    <w:tmpl w:val="FFFFFFFF"/>
    <w:lvl w:ilvl="0" w:tplc="A04047DC">
      <w:numFmt w:val="bullet"/>
      <w:lvlText w:val="-"/>
      <w:lvlJc w:val="left"/>
      <w:pPr>
        <w:ind w:left="480" w:hanging="360"/>
      </w:pPr>
      <w:rPr>
        <w:rFonts w:ascii="Aptos" w:eastAsia="Times New Roman" w:hAnsi="Aptos" w:hint="default"/>
      </w:rPr>
    </w:lvl>
    <w:lvl w:ilvl="1" w:tplc="04090003">
      <w:start w:val="1"/>
      <w:numFmt w:val="bullet"/>
      <w:lvlText w:val="o"/>
      <w:lvlJc w:val="left"/>
      <w:pPr>
        <w:ind w:left="1200" w:hanging="360"/>
      </w:pPr>
      <w:rPr>
        <w:rFonts w:ascii="Courier New" w:hAnsi="Courier New" w:cs="Times New Roman"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Times New Roman"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Times New Roman" w:hint="default"/>
      </w:rPr>
    </w:lvl>
    <w:lvl w:ilvl="8" w:tplc="04090005">
      <w:start w:val="1"/>
      <w:numFmt w:val="bullet"/>
      <w:lvlText w:val=""/>
      <w:lvlJc w:val="left"/>
      <w:pPr>
        <w:ind w:left="6240" w:hanging="360"/>
      </w:pPr>
      <w:rPr>
        <w:rFonts w:ascii="Wingdings" w:hAnsi="Wingdings" w:hint="default"/>
      </w:rPr>
    </w:lvl>
  </w:abstractNum>
  <w:abstractNum w:abstractNumId="9" w15:restartNumberingAfterBreak="0">
    <w:nsid w:val="65CA5025"/>
    <w:multiLevelType w:val="hybridMultilevel"/>
    <w:tmpl w:val="CBC4B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C30240"/>
    <w:multiLevelType w:val="hybridMultilevel"/>
    <w:tmpl w:val="35404D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0042E6"/>
    <w:multiLevelType w:val="hybridMultilevel"/>
    <w:tmpl w:val="FFFFFFFF"/>
    <w:lvl w:ilvl="0" w:tplc="A04047DC">
      <w:numFmt w:val="bullet"/>
      <w:lvlText w:val="-"/>
      <w:lvlJc w:val="left"/>
      <w:pPr>
        <w:ind w:left="480" w:hanging="360"/>
      </w:pPr>
      <w:rPr>
        <w:rFonts w:ascii="Aptos" w:eastAsia="Times New Roman" w:hAnsi="Aptos" w:hint="default"/>
      </w:rPr>
    </w:lvl>
    <w:lvl w:ilvl="1" w:tplc="04090003">
      <w:start w:val="1"/>
      <w:numFmt w:val="bullet"/>
      <w:lvlText w:val="o"/>
      <w:lvlJc w:val="left"/>
      <w:pPr>
        <w:ind w:left="1200" w:hanging="360"/>
      </w:pPr>
      <w:rPr>
        <w:rFonts w:ascii="Courier New" w:hAnsi="Courier New" w:cs="Times New Roman"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Times New Roman"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Times New Roman" w:hint="default"/>
      </w:rPr>
    </w:lvl>
    <w:lvl w:ilvl="8" w:tplc="04090005">
      <w:start w:val="1"/>
      <w:numFmt w:val="bullet"/>
      <w:lvlText w:val=""/>
      <w:lvlJc w:val="left"/>
      <w:pPr>
        <w:ind w:left="6240" w:hanging="360"/>
      </w:pPr>
      <w:rPr>
        <w:rFonts w:ascii="Wingdings" w:hAnsi="Wingdings" w:hint="default"/>
      </w:rPr>
    </w:lvl>
  </w:abstractNum>
  <w:num w:numId="1" w16cid:durableId="445853882">
    <w:abstractNumId w:val="11"/>
  </w:num>
  <w:num w:numId="2" w16cid:durableId="106506101">
    <w:abstractNumId w:val="5"/>
  </w:num>
  <w:num w:numId="3" w16cid:durableId="538129228">
    <w:abstractNumId w:val="8"/>
  </w:num>
  <w:num w:numId="4" w16cid:durableId="641737121">
    <w:abstractNumId w:val="9"/>
  </w:num>
  <w:num w:numId="5" w16cid:durableId="650520068">
    <w:abstractNumId w:val="4"/>
  </w:num>
  <w:num w:numId="6" w16cid:durableId="2016759599">
    <w:abstractNumId w:val="7"/>
  </w:num>
  <w:num w:numId="7" w16cid:durableId="1755201180">
    <w:abstractNumId w:val="1"/>
  </w:num>
  <w:num w:numId="8" w16cid:durableId="225997689">
    <w:abstractNumId w:val="0"/>
  </w:num>
  <w:num w:numId="9" w16cid:durableId="1525249079">
    <w:abstractNumId w:val="6"/>
  </w:num>
  <w:num w:numId="10" w16cid:durableId="1903711878">
    <w:abstractNumId w:val="2"/>
  </w:num>
  <w:num w:numId="11" w16cid:durableId="1000308331">
    <w:abstractNumId w:val="3"/>
  </w:num>
  <w:num w:numId="12" w16cid:durableId="1417941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1F"/>
    <w:rsid w:val="00010967"/>
    <w:rsid w:val="00023B6D"/>
    <w:rsid w:val="00033DC3"/>
    <w:rsid w:val="00034122"/>
    <w:rsid w:val="00066ECF"/>
    <w:rsid w:val="00076942"/>
    <w:rsid w:val="00082A6F"/>
    <w:rsid w:val="00083AC5"/>
    <w:rsid w:val="000A4B82"/>
    <w:rsid w:val="000D63C4"/>
    <w:rsid w:val="000D646F"/>
    <w:rsid w:val="0011331F"/>
    <w:rsid w:val="001137CF"/>
    <w:rsid w:val="00117AC8"/>
    <w:rsid w:val="00120DD7"/>
    <w:rsid w:val="00126873"/>
    <w:rsid w:val="00133F33"/>
    <w:rsid w:val="00137D89"/>
    <w:rsid w:val="0014153B"/>
    <w:rsid w:val="00143B66"/>
    <w:rsid w:val="00147F9F"/>
    <w:rsid w:val="00197545"/>
    <w:rsid w:val="001A07E1"/>
    <w:rsid w:val="001E3CDD"/>
    <w:rsid w:val="001E5364"/>
    <w:rsid w:val="001E692C"/>
    <w:rsid w:val="00200C55"/>
    <w:rsid w:val="00211058"/>
    <w:rsid w:val="00220674"/>
    <w:rsid w:val="00223567"/>
    <w:rsid w:val="00273DC8"/>
    <w:rsid w:val="002B15E8"/>
    <w:rsid w:val="002B231E"/>
    <w:rsid w:val="002E10F0"/>
    <w:rsid w:val="002E56BA"/>
    <w:rsid w:val="002F1C14"/>
    <w:rsid w:val="00305887"/>
    <w:rsid w:val="003160C4"/>
    <w:rsid w:val="00330D9E"/>
    <w:rsid w:val="003553D6"/>
    <w:rsid w:val="00385FCA"/>
    <w:rsid w:val="003D25DC"/>
    <w:rsid w:val="003D27C2"/>
    <w:rsid w:val="003D4BFD"/>
    <w:rsid w:val="003E2991"/>
    <w:rsid w:val="003E2A09"/>
    <w:rsid w:val="003F0351"/>
    <w:rsid w:val="003F0A92"/>
    <w:rsid w:val="00411F51"/>
    <w:rsid w:val="00424A03"/>
    <w:rsid w:val="00426AF7"/>
    <w:rsid w:val="00451CEB"/>
    <w:rsid w:val="00464B6E"/>
    <w:rsid w:val="0048390C"/>
    <w:rsid w:val="00483DCB"/>
    <w:rsid w:val="00490BB5"/>
    <w:rsid w:val="00491135"/>
    <w:rsid w:val="004B2F73"/>
    <w:rsid w:val="004C0F8E"/>
    <w:rsid w:val="004C1AC8"/>
    <w:rsid w:val="004C41C0"/>
    <w:rsid w:val="004C47E0"/>
    <w:rsid w:val="004D1137"/>
    <w:rsid w:val="004D3D54"/>
    <w:rsid w:val="004E6043"/>
    <w:rsid w:val="00512D9B"/>
    <w:rsid w:val="005206C8"/>
    <w:rsid w:val="005333DB"/>
    <w:rsid w:val="0054316E"/>
    <w:rsid w:val="00576F5A"/>
    <w:rsid w:val="00584BE8"/>
    <w:rsid w:val="005A1EBD"/>
    <w:rsid w:val="005A1FF6"/>
    <w:rsid w:val="00603A11"/>
    <w:rsid w:val="006077D8"/>
    <w:rsid w:val="00611232"/>
    <w:rsid w:val="00616FBB"/>
    <w:rsid w:val="00624A0D"/>
    <w:rsid w:val="00651367"/>
    <w:rsid w:val="006566A4"/>
    <w:rsid w:val="00682706"/>
    <w:rsid w:val="0068383B"/>
    <w:rsid w:val="006B1130"/>
    <w:rsid w:val="006B6B16"/>
    <w:rsid w:val="006C322B"/>
    <w:rsid w:val="006C7DCA"/>
    <w:rsid w:val="006D0B3A"/>
    <w:rsid w:val="006D7D5C"/>
    <w:rsid w:val="006E223A"/>
    <w:rsid w:val="006E496A"/>
    <w:rsid w:val="00705321"/>
    <w:rsid w:val="00734F13"/>
    <w:rsid w:val="00736D62"/>
    <w:rsid w:val="00741B75"/>
    <w:rsid w:val="0074381D"/>
    <w:rsid w:val="00775C34"/>
    <w:rsid w:val="007916B9"/>
    <w:rsid w:val="007B5463"/>
    <w:rsid w:val="007C1A5B"/>
    <w:rsid w:val="007D43AD"/>
    <w:rsid w:val="007F18DF"/>
    <w:rsid w:val="007F341A"/>
    <w:rsid w:val="00803A0C"/>
    <w:rsid w:val="00807F37"/>
    <w:rsid w:val="00811E2A"/>
    <w:rsid w:val="0084645C"/>
    <w:rsid w:val="008623BA"/>
    <w:rsid w:val="00876670"/>
    <w:rsid w:val="00890463"/>
    <w:rsid w:val="00892BC2"/>
    <w:rsid w:val="00893F0F"/>
    <w:rsid w:val="008942A6"/>
    <w:rsid w:val="008B4162"/>
    <w:rsid w:val="008C1FAE"/>
    <w:rsid w:val="008C5A1C"/>
    <w:rsid w:val="008D2105"/>
    <w:rsid w:val="008E1403"/>
    <w:rsid w:val="008F4223"/>
    <w:rsid w:val="00907AD4"/>
    <w:rsid w:val="009138A3"/>
    <w:rsid w:val="00923825"/>
    <w:rsid w:val="00926E05"/>
    <w:rsid w:val="00943A39"/>
    <w:rsid w:val="00976242"/>
    <w:rsid w:val="009A3702"/>
    <w:rsid w:val="009C3A36"/>
    <w:rsid w:val="009D4E74"/>
    <w:rsid w:val="009E0592"/>
    <w:rsid w:val="009E3BAC"/>
    <w:rsid w:val="00A22E19"/>
    <w:rsid w:val="00A55290"/>
    <w:rsid w:val="00A56B59"/>
    <w:rsid w:val="00A67A40"/>
    <w:rsid w:val="00A67F08"/>
    <w:rsid w:val="00A82881"/>
    <w:rsid w:val="00A85A7E"/>
    <w:rsid w:val="00AA0C25"/>
    <w:rsid w:val="00AA488E"/>
    <w:rsid w:val="00AA49D4"/>
    <w:rsid w:val="00AC38EC"/>
    <w:rsid w:val="00AE3CCD"/>
    <w:rsid w:val="00AF6CAA"/>
    <w:rsid w:val="00B02743"/>
    <w:rsid w:val="00B05149"/>
    <w:rsid w:val="00B07BD7"/>
    <w:rsid w:val="00B12467"/>
    <w:rsid w:val="00B24A84"/>
    <w:rsid w:val="00B33CE3"/>
    <w:rsid w:val="00B35F69"/>
    <w:rsid w:val="00B660FD"/>
    <w:rsid w:val="00B726CB"/>
    <w:rsid w:val="00B728EF"/>
    <w:rsid w:val="00B80CA5"/>
    <w:rsid w:val="00B82F2F"/>
    <w:rsid w:val="00B939E9"/>
    <w:rsid w:val="00BB46BD"/>
    <w:rsid w:val="00BB53F8"/>
    <w:rsid w:val="00BB5C6A"/>
    <w:rsid w:val="00BF0DE2"/>
    <w:rsid w:val="00C026E4"/>
    <w:rsid w:val="00C051DC"/>
    <w:rsid w:val="00C311F1"/>
    <w:rsid w:val="00C3301F"/>
    <w:rsid w:val="00C3660F"/>
    <w:rsid w:val="00C415F1"/>
    <w:rsid w:val="00C81CC7"/>
    <w:rsid w:val="00CA7EC1"/>
    <w:rsid w:val="00CC3E0E"/>
    <w:rsid w:val="00CE0BE6"/>
    <w:rsid w:val="00CE3976"/>
    <w:rsid w:val="00CF26FF"/>
    <w:rsid w:val="00D15122"/>
    <w:rsid w:val="00D26CA6"/>
    <w:rsid w:val="00D42491"/>
    <w:rsid w:val="00D4482D"/>
    <w:rsid w:val="00D574F4"/>
    <w:rsid w:val="00D701FA"/>
    <w:rsid w:val="00D8104E"/>
    <w:rsid w:val="00D8563C"/>
    <w:rsid w:val="00D93FEE"/>
    <w:rsid w:val="00D97A25"/>
    <w:rsid w:val="00DA2FE0"/>
    <w:rsid w:val="00DA6F45"/>
    <w:rsid w:val="00DB413D"/>
    <w:rsid w:val="00DB4C4F"/>
    <w:rsid w:val="00DF0B49"/>
    <w:rsid w:val="00DF5C17"/>
    <w:rsid w:val="00E057E7"/>
    <w:rsid w:val="00E11671"/>
    <w:rsid w:val="00E40C11"/>
    <w:rsid w:val="00E51FBA"/>
    <w:rsid w:val="00E6041C"/>
    <w:rsid w:val="00E65D43"/>
    <w:rsid w:val="00E82AC5"/>
    <w:rsid w:val="00E83089"/>
    <w:rsid w:val="00E83384"/>
    <w:rsid w:val="00E90F41"/>
    <w:rsid w:val="00E92CE4"/>
    <w:rsid w:val="00E958A2"/>
    <w:rsid w:val="00EA0922"/>
    <w:rsid w:val="00EA3B82"/>
    <w:rsid w:val="00EA4260"/>
    <w:rsid w:val="00EA5E55"/>
    <w:rsid w:val="00EA74A0"/>
    <w:rsid w:val="00EB1420"/>
    <w:rsid w:val="00EC692A"/>
    <w:rsid w:val="00EF7D78"/>
    <w:rsid w:val="00F02EBE"/>
    <w:rsid w:val="00F106BC"/>
    <w:rsid w:val="00F1591A"/>
    <w:rsid w:val="00F305D0"/>
    <w:rsid w:val="00F44C48"/>
    <w:rsid w:val="00F716BF"/>
    <w:rsid w:val="00F9155C"/>
    <w:rsid w:val="00FB6C73"/>
    <w:rsid w:val="00FC5F58"/>
    <w:rsid w:val="00FF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534697"/>
  <w15:chartTrackingRefBased/>
  <w15:docId w15:val="{DC6D7D14-42F2-49C0-9258-95AD15F2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6B9"/>
  </w:style>
  <w:style w:type="paragraph" w:styleId="Footer">
    <w:name w:val="footer"/>
    <w:basedOn w:val="Normal"/>
    <w:link w:val="FooterChar"/>
    <w:uiPriority w:val="99"/>
    <w:unhideWhenUsed/>
    <w:rsid w:val="00791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6B9"/>
  </w:style>
  <w:style w:type="character" w:styleId="Hyperlink">
    <w:name w:val="Hyperlink"/>
    <w:basedOn w:val="DefaultParagraphFont"/>
    <w:uiPriority w:val="99"/>
    <w:unhideWhenUsed/>
    <w:rsid w:val="00682706"/>
    <w:rPr>
      <w:color w:val="0563C1" w:themeColor="hyperlink"/>
      <w:u w:val="single"/>
    </w:rPr>
  </w:style>
  <w:style w:type="character" w:styleId="UnresolvedMention">
    <w:name w:val="Unresolved Mention"/>
    <w:basedOn w:val="DefaultParagraphFont"/>
    <w:uiPriority w:val="99"/>
    <w:semiHidden/>
    <w:unhideWhenUsed/>
    <w:rsid w:val="00682706"/>
    <w:rPr>
      <w:color w:val="605E5C"/>
      <w:shd w:val="clear" w:color="auto" w:fill="E1DFDD"/>
    </w:rPr>
  </w:style>
  <w:style w:type="paragraph" w:styleId="ListParagraph">
    <w:name w:val="List Paragraph"/>
    <w:basedOn w:val="Normal"/>
    <w:uiPriority w:val="34"/>
    <w:qFormat/>
    <w:rsid w:val="00DB413D"/>
    <w:pPr>
      <w:ind w:left="720"/>
      <w:contextualSpacing/>
    </w:pPr>
  </w:style>
  <w:style w:type="paragraph" w:styleId="Revision">
    <w:name w:val="Revision"/>
    <w:hidden/>
    <w:uiPriority w:val="99"/>
    <w:semiHidden/>
    <w:rsid w:val="00893F0F"/>
    <w:pPr>
      <w:spacing w:after="0" w:line="240" w:lineRule="auto"/>
    </w:pPr>
  </w:style>
  <w:style w:type="character" w:styleId="CommentReference">
    <w:name w:val="annotation reference"/>
    <w:basedOn w:val="DefaultParagraphFont"/>
    <w:uiPriority w:val="99"/>
    <w:semiHidden/>
    <w:unhideWhenUsed/>
    <w:rsid w:val="00E90F41"/>
    <w:rPr>
      <w:sz w:val="16"/>
      <w:szCs w:val="16"/>
    </w:rPr>
  </w:style>
  <w:style w:type="paragraph" w:styleId="CommentText">
    <w:name w:val="annotation text"/>
    <w:basedOn w:val="Normal"/>
    <w:link w:val="CommentTextChar"/>
    <w:uiPriority w:val="99"/>
    <w:unhideWhenUsed/>
    <w:rsid w:val="00E90F41"/>
    <w:pPr>
      <w:spacing w:line="240" w:lineRule="auto"/>
    </w:pPr>
    <w:rPr>
      <w:sz w:val="20"/>
      <w:szCs w:val="20"/>
    </w:rPr>
  </w:style>
  <w:style w:type="character" w:customStyle="1" w:styleId="CommentTextChar">
    <w:name w:val="Comment Text Char"/>
    <w:basedOn w:val="DefaultParagraphFont"/>
    <w:link w:val="CommentText"/>
    <w:uiPriority w:val="99"/>
    <w:rsid w:val="00E90F41"/>
    <w:rPr>
      <w:sz w:val="20"/>
      <w:szCs w:val="20"/>
    </w:rPr>
  </w:style>
  <w:style w:type="paragraph" w:styleId="CommentSubject">
    <w:name w:val="annotation subject"/>
    <w:basedOn w:val="CommentText"/>
    <w:next w:val="CommentText"/>
    <w:link w:val="CommentSubjectChar"/>
    <w:uiPriority w:val="99"/>
    <w:semiHidden/>
    <w:unhideWhenUsed/>
    <w:rsid w:val="00E90F41"/>
    <w:rPr>
      <w:b/>
      <w:bCs/>
    </w:rPr>
  </w:style>
  <w:style w:type="character" w:customStyle="1" w:styleId="CommentSubjectChar">
    <w:name w:val="Comment Subject Char"/>
    <w:basedOn w:val="CommentTextChar"/>
    <w:link w:val="CommentSubject"/>
    <w:uiPriority w:val="99"/>
    <w:semiHidden/>
    <w:rsid w:val="00E90F41"/>
    <w:rPr>
      <w:b/>
      <w:bCs/>
      <w:sz w:val="20"/>
      <w:szCs w:val="20"/>
    </w:rPr>
  </w:style>
  <w:style w:type="table" w:styleId="TableGrid">
    <w:name w:val="Table Grid"/>
    <w:basedOn w:val="TableNormal"/>
    <w:uiPriority w:val="39"/>
    <w:rsid w:val="0020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0329">
      <w:bodyDiv w:val="1"/>
      <w:marLeft w:val="0"/>
      <w:marRight w:val="0"/>
      <w:marTop w:val="0"/>
      <w:marBottom w:val="0"/>
      <w:divBdr>
        <w:top w:val="none" w:sz="0" w:space="0" w:color="auto"/>
        <w:left w:val="none" w:sz="0" w:space="0" w:color="auto"/>
        <w:bottom w:val="none" w:sz="0" w:space="0" w:color="auto"/>
        <w:right w:val="none" w:sz="0" w:space="0" w:color="auto"/>
      </w:divBdr>
    </w:div>
    <w:div w:id="666136606">
      <w:bodyDiv w:val="1"/>
      <w:marLeft w:val="0"/>
      <w:marRight w:val="0"/>
      <w:marTop w:val="0"/>
      <w:marBottom w:val="0"/>
      <w:divBdr>
        <w:top w:val="none" w:sz="0" w:space="0" w:color="auto"/>
        <w:left w:val="none" w:sz="0" w:space="0" w:color="auto"/>
        <w:bottom w:val="none" w:sz="0" w:space="0" w:color="auto"/>
        <w:right w:val="none" w:sz="0" w:space="0" w:color="auto"/>
      </w:divBdr>
    </w:div>
    <w:div w:id="1082868716">
      <w:bodyDiv w:val="1"/>
      <w:marLeft w:val="0"/>
      <w:marRight w:val="0"/>
      <w:marTop w:val="0"/>
      <w:marBottom w:val="0"/>
      <w:divBdr>
        <w:top w:val="none" w:sz="0" w:space="0" w:color="auto"/>
        <w:left w:val="none" w:sz="0" w:space="0" w:color="auto"/>
        <w:bottom w:val="none" w:sz="0" w:space="0" w:color="auto"/>
        <w:right w:val="none" w:sz="0" w:space="0" w:color="auto"/>
      </w:divBdr>
    </w:div>
    <w:div w:id="163980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im.Charlson@perkins.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alaier@afb.org"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tanley@acb.org"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9E21A-C6CC-449A-8E8D-5AD87EC9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740</Words>
  <Characters>4396</Characters>
  <Application>Microsoft Office Word</Application>
  <DocSecurity>0</DocSecurity>
  <PresentationFormat/>
  <Lines>99</Lines>
  <Paragraphs>30</Paragraphs>
  <ScaleCrop>false</ScaleCrop>
  <HeadingPairs>
    <vt:vector size="2" baseType="variant">
      <vt:variant>
        <vt:lpstr>Title</vt:lpstr>
      </vt:variant>
      <vt:variant>
        <vt:i4>1</vt:i4>
      </vt:variant>
    </vt:vector>
  </HeadingPairs>
  <TitlesOfParts>
    <vt:vector size="1" baseType="lpstr">
      <vt:lpstr>ACB, AFB, and Perkins Joint Reply Comment Letter to FCC (D1164236).DOCX</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Reply Comment Letter to FCC (D1164758-3).DOCX</dc:title>
  <dc:subject>wdNOSTAMP</dc:subject>
  <dc:creator>Keller, Natalie</dc:creator>
  <cp:keywords/>
  <dc:description/>
  <cp:lastModifiedBy>Keller, Natalie</cp:lastModifiedBy>
  <cp:revision>5</cp:revision>
  <cp:lastPrinted>2025-02-22T18:05:00Z</cp:lastPrinted>
  <dcterms:created xsi:type="dcterms:W3CDTF">2025-02-26T02:21:00Z</dcterms:created>
  <dcterms:modified xsi:type="dcterms:W3CDTF">2025-03-03T18:36:00Z</dcterms:modified>
</cp:coreProperties>
</file>